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511" w:rsidRPr="00D53511" w:rsidRDefault="00131304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2B2D50">
        <w:rPr>
          <w:b/>
          <w:sz w:val="24"/>
        </w:rPr>
        <w:t>. P. R-INT-l.4.3</w:t>
      </w:r>
      <w:r w:rsidR="00D53511">
        <w:rPr>
          <w:b/>
          <w:sz w:val="24"/>
        </w:rPr>
        <w:t>.-</w:t>
      </w:r>
      <w:r w:rsidR="00D53511" w:rsidRPr="00D53511">
        <w:rPr>
          <w:rFonts w:ascii="Arial" w:hAnsi="Arial" w:cs="Arial"/>
          <w:sz w:val="20"/>
          <w:szCs w:val="20"/>
        </w:rPr>
        <w:t xml:space="preserve"> </w:t>
      </w:r>
      <w:r w:rsidR="002B2D50" w:rsidRPr="002B2D50">
        <w:rPr>
          <w:rFonts w:ascii="Arial" w:eastAsia="Times New Roman" w:hAnsi="Arial" w:cs="Arial"/>
          <w:sz w:val="20"/>
          <w:szCs w:val="20"/>
          <w:lang w:eastAsia="es-MX"/>
        </w:rPr>
        <w:t>Suministro y colocación de pintura anticorrosiva marca Nervión o similar, en estructuras de acero, el precio unitario comprende todos los materiales, solventes, brochas, equipo de trabajo, equipo de seguridad, andamiaje necesario para la elaboración de los trabajos, acarreos horizontales y verticales, la preparación del área en donde se vaya a aplicar la pintura, protección del área de trabajo, limpieza de la misma durante la elaboración de los trabajos y al término de los mismos. Y protección del área de trabajo con una capa de cartón corrugado más una capa de plástico de poliuretano fijada con cinta azul para la protección del área colindante. P.U.O.T.</w:t>
      </w:r>
      <w:bookmarkStart w:id="0" w:name="_GoBack"/>
      <w:bookmarkEnd w:id="0"/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53511">
        <w:t xml:space="preserve"> medición será en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B2D50"/>
    <w:rsid w:val="00C56621"/>
    <w:rsid w:val="00D040D7"/>
    <w:rsid w:val="00D53511"/>
    <w:rsid w:val="00E4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F17C7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2017-10-09T14:47:00Z</dcterms:created>
  <dcterms:modified xsi:type="dcterms:W3CDTF">2017-10-09T16:17:00Z</dcterms:modified>
</cp:coreProperties>
</file>